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Verksamhetsplan för Dyslexiförbundet FMLS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–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Under kongressperioden kommer </w:t>
      </w:r>
      <w:r w:rsidDel="00000000" w:rsidR="00000000" w:rsidRPr="00000000">
        <w:rPr>
          <w:sz w:val="28"/>
          <w:szCs w:val="28"/>
          <w:rtl w:val="0"/>
        </w:rPr>
        <w:t xml:space="preserve">fokus att ligga på att framtidssäkra förbundet samt utveckla förbundets värdegrundsarbete. Vi ska även verka för ett tillgängligt samhälle för vår målgrupp.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Intressepolitik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Påverka</w:t>
      </w:r>
      <w:r w:rsidDel="00000000" w:rsidR="00000000" w:rsidRPr="00000000">
        <w:rPr>
          <w:rtl w:val="0"/>
        </w:rPr>
        <w:t xml:space="preserve"> lärarutbildningen inom för- grund och högstadiet, gymnasiet, </w:t>
      </w:r>
      <w:r w:rsidDel="00000000" w:rsidR="00000000" w:rsidRPr="00000000">
        <w:rPr>
          <w:i w:val="1"/>
          <w:rtl w:val="0"/>
        </w:rPr>
        <w:t xml:space="preserve">obligatorisk utbildning inom läs- och skriv- matematiksvårigheter samt kognitiva svårigheter.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Verka för att synliggöra vuxenfrågor i samhället, bland annat genom att öka samverkan med arbetsförmedlingen och Försäkringskassan.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Verka för en likvärdig och tillgänglig skola/utbildning i hela landet.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Verka för samma regler i alla landsting.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Verka för nationell upptäckt  och utredning av läs-och skrivsvårigheter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Påverka skollagens skrivningar så att behovet av stöd garanteras och stärks, samt att åtgärdsprogram ska upprättas för elever med funktionsnedsättning. 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Verksamhet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Fortsatt arbete med, samt utveckla dyslexiveckan.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Arbetet med vuxenfrågor utvecklas – framför allt rörande arbetsliv, information och kultur.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Informations- och rådgivningsverksamheten Skrivknuten fortsätter och vidareutvecklar sin verksamhet och att den långsiktiga finansieringen säkras.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Utveckla egen APP med verktyg.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Arbeta med samt utveckla förbundets komunikations strategi, samt tillgängliggöra vårt informationsmatrerial via hemsidan samt andra kanaler. (kommunikationspaket).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Information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Uppdatera samt utveckla nytt informationsmaterial som omfattar alla våra frågor.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Nationell Dyslexikampanj.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Fortsätta arbetet med att samarbeta med kändisar/profiler som är dyslektiker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Förbättra förbundets kontakter externt framför allt genom att knyta kontakter bland massmedia och bland politiker genom ökad och riktad information.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Organisation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Söka nya intäktskällor, bland annat genom att söka sponsorer, öppna gåvokonto och aktivera Dyslexifonden.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Utveckla förbundets ungdomsarbete inom ramen för en ungdomssektion.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Framtidssäkra förbundet genom att stärka förbundets regionala och lokala arbete framför allt genom utbildning av förtroendevalda och informatörer.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Framtidssäkra kansliet och dess resurser.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ind w:firstLine="0"/>
      <w:contextualSpacing w:val="0"/>
    </w:pPr>
    <w:r w:rsidDel="00000000" w:rsidR="00000000" w:rsidRPr="00000000">
      <w:drawing>
        <wp:inline distB="0" distT="0" distL="0" distR="0">
          <wp:extent cx="2860675" cy="51943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0675" cy="519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ind w:firstLine="0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vertAlign w:val="baseline"/>
        <w:rtl w:val="0"/>
      </w:rPr>
      <w:t xml:space="preserve">Kongressen 20</w:t>
    </w:r>
    <w:r w:rsidDel="00000000" w:rsidR="00000000" w:rsidRPr="00000000">
      <w:rPr>
        <w:b w:val="1"/>
        <w:i w:val="1"/>
        <w:rtl w:val="0"/>
      </w:rPr>
      <w:t xml:space="preserve">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