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Förslag till dagordning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ab/>
        <w:t xml:space="preserve">Kongressens ledning och arbetsformer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Kongressen öppnas.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Upprättande och justering av röstlängd.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Fråga om kongressen blivit behörigen utlyst.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Fastställande av dagordning och arbetsordning för kongressen.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5. Val av ordförande, vice ordförande, sekreterare och vice sekreterare för kongressen.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Val av två protokolljusterare.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Val av minst två rösträknare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Val av eventuella kongressutskott.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ab/>
        <w:t xml:space="preserve">Valmöte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Valmöte: presentation av valberedningens förslag samt andra nomineringar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Stopp för nomineringar och förslag. Valen ajourneras till punkt 39 på dagordningen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ab/>
        <w:t xml:space="preserve">Verksamhetsrapportering och ansvar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Förbundsstyrelsens årsredovisning och kassarapport för år 2013.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Revisorernas berättelse för år 2013.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 xml:space="preserve">12. Förbundsrådets 2014 rekommendation till kongressen angående resultat, utgående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balansräkning och ansvarsfrihet för år 2013.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Fråga om fastställande av resultat och balans för 2013 samt beviljande av 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ansvarsfrihet för förbundsstyrelsen för 2013 års verksamhet.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 Förbundsstyrelsens årsredovisning och kassarapport för år 2014.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 Revisorernas berättelse för år 2014.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 Förbundsrådets 2015 rekommendation till kongressen angående resultat, utgående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balansräkning och ansvarsfrihet för år 2014.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 Fråga om fastställande av resultat och balans för 2014 samt beviljande av 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ansvarsfrihet för förbundsstyrelsen för 2014 års verksamhet.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 Förbundsstyrelsens årsredovisning och kassarapport för år 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 Revisorernas berättelse för år 2015.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20. Fråga om fastställande av resultat och balans för 2015 samt beviljande av 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ansvarsfrihet för förbundsstyrelsen för 2015 års verksamhet.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21. FS rapport över utestående motioner från kongressen 2013.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ab/>
        <w:t xml:space="preserve">Motioner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22. Motion 1 angående namnbyte av förbundsnamn.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23. Motion 2 angående ändring av betydelsen på FMLS (utgår om motion nr 1 antas av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kongressen)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24. Motion 3 och4 angående heltidsarvoderad förbundsordförande.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25. Motion 5-7 angående nomineringsförfarandet till kongressen.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26. Motion 8 och 9 angående sammansättningen i AU.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27. Motion 10 angående lokalföreningarna och distriktens årsmöten samt revision.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28. Motion 11 angående att sända in verksamhetsberättelser m.m. till förbundskansliet.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29. Motion 12 angående tillhörighet i någon lokalförening eller distrikt.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30. Förbundsstyrelsen förslag om stadgeändringar.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31. Motion 13 angående uppdatering av nya medlemsregistret.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32. Motion 14 angående ändring av policy för tidningen Läs &amp; Skriv.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33. Motion 15 angående vikten av stöd och mentorer för lokalföreningar vad gäller ekonomi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och organisation.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 xml:space="preserve">34. Motion 16 angående att det syns mera utåt att Förbundet även arbetar för vuxna och äldre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personer med dyslexi/läs- och skrivsvårigheter och dyskalkyli/matematiksvårigheter.</w:t>
        <w:br w:type="textWrapping"/>
        <w:t xml:space="preserve">35. Motion 17 angående bildande av paraplyorganisation med våra stora dyslexiorganisationer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samt Attention i resultatgivande samarbete.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ab/>
        <w:t xml:space="preserve">Framtida verksamhet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36. Fastställande av Verksamhetsplan (målprogram) för Dyslexiförbundet FMLS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åren 2017-2019.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ab/>
        <w:t xml:space="preserve">Framtida ekonomi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37. Beslut om medlemsavgifter i förbundet och fördelning mellan riks- och länsnivå.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38. Beslut om budget för år 2017-2019.</w:t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ab/>
        <w:t xml:space="preserve">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39. Beslut om antalet ledamöter i förbundsstyrelsen för nästa period, dock minst sju 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ledamöter och tre suppleanter (ersättare)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40. Val av förbundsordförande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41. Val av 1:e vice ordförande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42. Val av Ekonomiansvarig (utgår om motion 8 och 9 antas)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43. Val av förbundsstyrelsens övriga ledamöter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44. Val av förbundsstyrelsens suppleanter, som träder in i tur och ordning</w:t>
      </w:r>
    </w:p>
    <w:p w:rsidR="00000000" w:rsidDel="00000000" w:rsidP="00000000" w:rsidRDefault="00000000" w:rsidRPr="00000000">
      <w:pPr>
        <w:tabs>
          <w:tab w:val="left" w:pos="284"/>
        </w:tabs>
        <w:contextualSpacing w:val="0"/>
      </w:pPr>
      <w:r w:rsidDel="00000000" w:rsidR="00000000" w:rsidRPr="00000000">
        <w:rPr>
          <w:rtl w:val="0"/>
        </w:rPr>
        <w:tab/>
        <w:t xml:space="preserve"> som de får röstetal eller blir valda.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45. Val av en auktoriserad revisor och en suppleant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46. Val av två revisorer och två revisorssuppleanter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47. Val av valberedning.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ab/>
        <w:t xml:space="preserve">Övriga ärenden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48. Övriga frågor att hänskjuta till förbundsstyrelsen.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49. Kongressen avslutas.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418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before="720" w:lineRule="auto"/>
      <w:contextualSpacing w:val="0"/>
    </w:pPr>
    <w:r w:rsidDel="00000000" w:rsidR="00000000" w:rsidRPr="00000000">
      <w:rPr>
        <w:i w:val="1"/>
        <w:sz w:val="28"/>
        <w:szCs w:val="28"/>
        <w:rtl w:val="0"/>
      </w:rPr>
      <w:t xml:space="preserve">Dyslexiförbundet FMLS  Kongress 2016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